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74" w:rsidRDefault="004E1674" w:rsidP="006E77A7">
      <w:pPr>
        <w:jc w:val="center"/>
      </w:pPr>
    </w:p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="0089149C">
        <w:rPr>
          <w:sz w:val="28"/>
          <w:szCs w:val="28"/>
        </w:rPr>
        <w:t xml:space="preserve"> </w:t>
      </w:r>
      <w:r w:rsidR="00CE7C00">
        <w:rPr>
          <w:sz w:val="28"/>
          <w:szCs w:val="28"/>
        </w:rPr>
        <w:t>25.0</w:t>
      </w:r>
      <w:r w:rsidR="00F62D31">
        <w:rPr>
          <w:sz w:val="28"/>
          <w:szCs w:val="28"/>
        </w:rPr>
        <w:t>1.</w:t>
      </w:r>
      <w:r w:rsidR="00CE7C00">
        <w:rPr>
          <w:sz w:val="28"/>
          <w:szCs w:val="28"/>
        </w:rPr>
        <w:t>2022</w:t>
      </w:r>
      <w:r w:rsidR="0089149C">
        <w:rPr>
          <w:sz w:val="28"/>
          <w:szCs w:val="28"/>
        </w:rPr>
        <w:t xml:space="preserve"> </w:t>
      </w:r>
      <w:r w:rsidR="002C05D7">
        <w:rPr>
          <w:sz w:val="28"/>
          <w:szCs w:val="28"/>
        </w:rPr>
        <w:t>№8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proofErr w:type="gramStart"/>
      <w:r w:rsidRPr="00237812">
        <w:rPr>
          <w:sz w:val="28"/>
          <w:szCs w:val="28"/>
        </w:rPr>
        <w:t>»</w:t>
      </w:r>
      <w:r w:rsidR="00B07737">
        <w:rPr>
          <w:sz w:val="28"/>
          <w:szCs w:val="28"/>
        </w:rPr>
        <w:t>с</w:t>
      </w:r>
      <w:proofErr w:type="gramEnd"/>
      <w:r w:rsidR="00B07737">
        <w:rPr>
          <w:sz w:val="28"/>
          <w:szCs w:val="28"/>
        </w:rPr>
        <w:t>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</w:t>
      </w:r>
      <w:r w:rsidR="008E0537">
        <w:rPr>
          <w:sz w:val="28"/>
          <w:szCs w:val="28"/>
        </w:rPr>
        <w:t xml:space="preserve"> на 2019-2025 годы</w:t>
      </w:r>
      <w:r>
        <w:rPr>
          <w:sz w:val="28"/>
          <w:szCs w:val="28"/>
        </w:rPr>
        <w:t xml:space="preserve"> </w:t>
      </w:r>
      <w:r w:rsidR="00A21658">
        <w:rPr>
          <w:sz w:val="28"/>
          <w:szCs w:val="28"/>
        </w:rPr>
        <w:t xml:space="preserve"> 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</w:t>
      </w:r>
      <w:r w:rsidR="008E0537">
        <w:rPr>
          <w:sz w:val="28"/>
          <w:szCs w:val="28"/>
        </w:rPr>
        <w:t xml:space="preserve">    </w:t>
      </w:r>
      <w:r w:rsidR="00B07737">
        <w:rPr>
          <w:sz w:val="28"/>
          <w:szCs w:val="28"/>
        </w:rPr>
        <w:t xml:space="preserve">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CE7C00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E77A7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6E77A7">
        <w:rPr>
          <w:b/>
          <w:sz w:val="28"/>
          <w:szCs w:val="28"/>
        </w:rPr>
        <w:t xml:space="preserve">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658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ab/>
      </w:r>
      <w:r w:rsidR="00CE7C00">
        <w:rPr>
          <w:b/>
          <w:sz w:val="28"/>
          <w:szCs w:val="28"/>
        </w:rPr>
        <w:t>В.Н.Меркулов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B07737" w:rsidRDefault="00B07737" w:rsidP="006E77A7">
      <w:pPr>
        <w:rPr>
          <w:bCs/>
          <w:szCs w:val="28"/>
        </w:rPr>
      </w:pP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0A5ECB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A21658" w:rsidRDefault="00A21658" w:rsidP="00A2165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A21658" w:rsidRDefault="00A21658" w:rsidP="00A21658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</w:t>
            </w:r>
            <w:r w:rsidRPr="001A3395">
              <w:rPr>
                <w:bCs/>
                <w:szCs w:val="28"/>
              </w:rPr>
              <w:t xml:space="preserve">Розовского </w:t>
            </w:r>
          </w:p>
          <w:p w:rsidR="00A21658" w:rsidRDefault="00A21658" w:rsidP="00A2165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11.11.2021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CE7C00" w:rsidRDefault="00CE7C00" w:rsidP="00A21658">
            <w:pPr>
              <w:rPr>
                <w:bCs/>
                <w:szCs w:val="28"/>
              </w:rPr>
            </w:pPr>
          </w:p>
          <w:p w:rsidR="00CE7C00" w:rsidRDefault="00CE7C00" w:rsidP="00CE7C0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CE7C00" w:rsidRDefault="00CE7C00" w:rsidP="00CE7C0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администрации </w:t>
            </w:r>
            <w:r w:rsidRPr="001A3395">
              <w:rPr>
                <w:bCs/>
                <w:szCs w:val="28"/>
              </w:rPr>
              <w:t xml:space="preserve">Розовского </w:t>
            </w:r>
          </w:p>
          <w:p w:rsidR="00CE7C00" w:rsidRDefault="00CE7C00" w:rsidP="00CE7C0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25.01.20</w:t>
            </w:r>
            <w:r w:rsidR="002C05D7">
              <w:rPr>
                <w:bCs/>
                <w:szCs w:val="28"/>
              </w:rPr>
              <w:t>2</w:t>
            </w:r>
            <w:r>
              <w:rPr>
                <w:bCs/>
                <w:szCs w:val="28"/>
              </w:rPr>
              <w:t xml:space="preserve">2 </w:t>
            </w:r>
            <w:r w:rsidRPr="001A3395">
              <w:rPr>
                <w:bCs/>
                <w:szCs w:val="28"/>
              </w:rPr>
              <w:t>№</w:t>
            </w:r>
            <w:r w:rsidR="002C05D7">
              <w:rPr>
                <w:bCs/>
                <w:szCs w:val="28"/>
              </w:rPr>
              <w:t xml:space="preserve"> 8</w:t>
            </w:r>
          </w:p>
          <w:p w:rsidR="00CE7C00" w:rsidRDefault="00CE7C00" w:rsidP="00A21658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3C58AC" w:rsidRPr="00F62D31" w:rsidRDefault="003C58AC" w:rsidP="006E77A7">
      <w:pPr>
        <w:jc w:val="center"/>
        <w:rPr>
          <w:b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335A31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="008E05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</w:t>
      </w:r>
      <w:r w:rsidR="008E0537">
        <w:rPr>
          <w:b/>
          <w:sz w:val="28"/>
          <w:szCs w:val="28"/>
        </w:rPr>
        <w:t xml:space="preserve"> </w:t>
      </w:r>
      <w:r w:rsidR="008E0537" w:rsidRPr="008E0537">
        <w:rPr>
          <w:b/>
          <w:sz w:val="28"/>
          <w:szCs w:val="28"/>
        </w:rPr>
        <w:t>на</w:t>
      </w:r>
      <w:r w:rsidR="008E0537">
        <w:rPr>
          <w:sz w:val="28"/>
          <w:szCs w:val="28"/>
        </w:rPr>
        <w:t xml:space="preserve"> </w:t>
      </w:r>
      <w:r w:rsidR="008E0537" w:rsidRPr="008E0537">
        <w:rPr>
          <w:b/>
          <w:sz w:val="28"/>
          <w:szCs w:val="28"/>
        </w:rPr>
        <w:t>2019-2025 годы</w:t>
      </w:r>
      <w:r w:rsidRPr="00A12C9A">
        <w:rPr>
          <w:b/>
          <w:sz w:val="28"/>
          <w:szCs w:val="28"/>
        </w:rPr>
        <w:t xml:space="preserve"> 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A21658" w:rsidRDefault="00A21658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3C58AC" w:rsidRPr="0089149C" w:rsidRDefault="003C58AC" w:rsidP="006E77A7">
      <w:pPr>
        <w:rPr>
          <w:b/>
          <w:caps/>
        </w:rPr>
      </w:pPr>
    </w:p>
    <w:p w:rsidR="003C58AC" w:rsidRPr="0089149C" w:rsidRDefault="003C58AC" w:rsidP="006E77A7">
      <w:pPr>
        <w:rPr>
          <w:b/>
          <w:caps/>
        </w:rPr>
      </w:pPr>
    </w:p>
    <w:p w:rsidR="003C58AC" w:rsidRDefault="003C58AC" w:rsidP="006E77A7">
      <w:pPr>
        <w:rPr>
          <w:b/>
          <w:caps/>
        </w:rPr>
      </w:pPr>
    </w:p>
    <w:p w:rsidR="002B42E1" w:rsidRDefault="002B42E1" w:rsidP="006E77A7">
      <w:pPr>
        <w:rPr>
          <w:b/>
          <w:caps/>
        </w:rPr>
      </w:pPr>
    </w:p>
    <w:p w:rsidR="003C58AC" w:rsidRPr="0089149C" w:rsidRDefault="003C58AC" w:rsidP="006E77A7">
      <w:pPr>
        <w:rPr>
          <w:b/>
          <w:caps/>
        </w:rPr>
      </w:pPr>
    </w:p>
    <w:p w:rsidR="003C58AC" w:rsidRPr="0089149C" w:rsidRDefault="003C58AC" w:rsidP="006E77A7">
      <w:pPr>
        <w:rPr>
          <w:b/>
          <w:caps/>
        </w:rPr>
      </w:pPr>
    </w:p>
    <w:p w:rsidR="006E77A7" w:rsidRPr="00855296" w:rsidRDefault="006E77A7" w:rsidP="003C58AC">
      <w:pPr>
        <w:jc w:val="center"/>
        <w:rPr>
          <w:b/>
          <w:caps/>
          <w:sz w:val="28"/>
          <w:szCs w:val="28"/>
        </w:rPr>
      </w:pPr>
      <w:r w:rsidRPr="00855296">
        <w:rPr>
          <w:b/>
          <w:caps/>
          <w:sz w:val="28"/>
          <w:szCs w:val="28"/>
        </w:rPr>
        <w:t>Паспорт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A21658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="008E0537">
        <w:rPr>
          <w:sz w:val="28"/>
          <w:szCs w:val="28"/>
        </w:rPr>
        <w:t xml:space="preserve">на </w:t>
      </w:r>
      <w:r w:rsidR="008E0537" w:rsidRPr="008E0537">
        <w:rPr>
          <w:b/>
          <w:sz w:val="28"/>
          <w:szCs w:val="28"/>
        </w:rPr>
        <w:t>2019-2025 годы</w:t>
      </w:r>
      <w:r w:rsidRPr="00855296">
        <w:rPr>
          <w:bCs/>
          <w:sz w:val="28"/>
          <w:szCs w:val="28"/>
        </w:rPr>
        <w:t>»</w:t>
      </w:r>
    </w:p>
    <w:tbl>
      <w:tblPr>
        <w:tblW w:w="105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1"/>
        <w:gridCol w:w="986"/>
        <w:gridCol w:w="846"/>
        <w:gridCol w:w="986"/>
        <w:gridCol w:w="986"/>
        <w:gridCol w:w="846"/>
        <w:gridCol w:w="909"/>
        <w:gridCol w:w="1107"/>
        <w:gridCol w:w="1467"/>
      </w:tblGrid>
      <w:tr w:rsidR="006E77A7" w:rsidRPr="00A61C89" w:rsidTr="00A21658">
        <w:trPr>
          <w:trHeight w:val="964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A21658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</w:t>
            </w:r>
            <w:r w:rsidR="008E0537">
              <w:rPr>
                <w:sz w:val="28"/>
                <w:szCs w:val="28"/>
              </w:rPr>
              <w:t xml:space="preserve"> на 2019-2025 годы</w:t>
            </w:r>
            <w:r>
              <w:rPr>
                <w:sz w:val="28"/>
                <w:szCs w:val="28"/>
              </w:rPr>
              <w:t xml:space="preserve"> </w:t>
            </w:r>
            <w:r w:rsidRPr="00A61C89">
              <w:rPr>
                <w:sz w:val="28"/>
                <w:szCs w:val="28"/>
              </w:rPr>
              <w:t>»</w:t>
            </w:r>
          </w:p>
        </w:tc>
      </w:tr>
      <w:tr w:rsidR="006E77A7" w:rsidRPr="00A61C89" w:rsidTr="00A21658">
        <w:trPr>
          <w:trHeight w:val="1296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A21658">
        <w:trPr>
          <w:trHeight w:val="2592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A21658">
        <w:trPr>
          <w:trHeight w:val="904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A21658">
        <w:trPr>
          <w:trHeight w:val="377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1010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A21658">
        <w:trPr>
          <w:trHeight w:val="271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301"/>
        </w:trPr>
        <w:tc>
          <w:tcPr>
            <w:tcW w:w="2482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A21658">
        <w:trPr>
          <w:trHeight w:val="1205"/>
        </w:trPr>
        <w:tc>
          <w:tcPr>
            <w:tcW w:w="2482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29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34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A21658">
        <w:trPr>
          <w:trHeight w:val="377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929" w:type="dxa"/>
          </w:tcPr>
          <w:p w:rsidR="006E77A7" w:rsidRPr="009365B1" w:rsidRDefault="00D24A10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6177.8</w:t>
            </w:r>
            <w:bookmarkStart w:id="0" w:name="_GoBack"/>
            <w:bookmarkEnd w:id="0"/>
          </w:p>
        </w:tc>
        <w:tc>
          <w:tcPr>
            <w:tcW w:w="80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35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34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40C2">
              <w:rPr>
                <w:sz w:val="28"/>
                <w:szCs w:val="28"/>
              </w:rPr>
              <w:t>722,7</w:t>
            </w:r>
          </w:p>
        </w:tc>
        <w:tc>
          <w:tcPr>
            <w:tcW w:w="801" w:type="dxa"/>
          </w:tcPr>
          <w:p w:rsidR="006E77A7" w:rsidRDefault="004B2EB4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  <w:tc>
          <w:tcPr>
            <w:tcW w:w="922" w:type="dxa"/>
          </w:tcPr>
          <w:p w:rsidR="006E77A7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655,6</w:t>
            </w:r>
          </w:p>
        </w:tc>
        <w:tc>
          <w:tcPr>
            <w:tcW w:w="1159" w:type="dxa"/>
          </w:tcPr>
          <w:p w:rsidR="006E77A7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</w:t>
            </w:r>
          </w:p>
        </w:tc>
        <w:tc>
          <w:tcPr>
            <w:tcW w:w="15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A21658">
        <w:trPr>
          <w:trHeight w:val="368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29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4503,6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34" w:type="dxa"/>
          </w:tcPr>
          <w:p w:rsidR="006E77A7" w:rsidRPr="00576C0E" w:rsidRDefault="00B51895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978,5</w:t>
            </w:r>
          </w:p>
        </w:tc>
        <w:tc>
          <w:tcPr>
            <w:tcW w:w="801" w:type="dxa"/>
          </w:tcPr>
          <w:p w:rsidR="006E77A7" w:rsidRPr="00576C0E" w:rsidRDefault="00713B2E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  <w:tc>
          <w:tcPr>
            <w:tcW w:w="922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655,6</w:t>
            </w:r>
          </w:p>
        </w:tc>
        <w:tc>
          <w:tcPr>
            <w:tcW w:w="1159" w:type="dxa"/>
          </w:tcPr>
          <w:p w:rsidR="006E77A7" w:rsidRPr="00576C0E" w:rsidRDefault="00E71F7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A21658">
        <w:trPr>
          <w:trHeight w:val="678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Федеральный бюджет</w:t>
            </w:r>
          </w:p>
        </w:tc>
        <w:tc>
          <w:tcPr>
            <w:tcW w:w="929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4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347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29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34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0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A21658">
        <w:trPr>
          <w:trHeight w:val="693"/>
        </w:trPr>
        <w:tc>
          <w:tcPr>
            <w:tcW w:w="248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29" w:type="dxa"/>
          </w:tcPr>
          <w:p w:rsidR="006E77A7" w:rsidRPr="00576C0E" w:rsidRDefault="00E71F7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365B1">
              <w:rPr>
                <w:sz w:val="28"/>
                <w:szCs w:val="28"/>
              </w:rPr>
              <w:t>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0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34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01" w:type="dxa"/>
          </w:tcPr>
          <w:p w:rsidR="006E77A7" w:rsidRPr="00576C0E" w:rsidRDefault="004B2EB4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92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A21658">
        <w:trPr>
          <w:trHeight w:val="2908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A21658">
        <w:trPr>
          <w:trHeight w:val="1612"/>
        </w:trPr>
        <w:tc>
          <w:tcPr>
            <w:tcW w:w="2482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8071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>аммы осуществляет глава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lastRenderedPageBreak/>
        <w:t xml:space="preserve">Большинство объектов внешнего благоустройства населенного </w:t>
      </w:r>
      <w:proofErr w:type="spellStart"/>
      <w:r w:rsidRPr="00A61C89">
        <w:rPr>
          <w:sz w:val="28"/>
          <w:szCs w:val="28"/>
        </w:rPr>
        <w:t>пункта</w:t>
      </w:r>
      <w:proofErr w:type="gramStart"/>
      <w:r w:rsidRPr="00A61C89">
        <w:rPr>
          <w:sz w:val="28"/>
          <w:szCs w:val="28"/>
        </w:rPr>
        <w:t>,т</w:t>
      </w:r>
      <w:proofErr w:type="gramEnd"/>
      <w:r w:rsidRPr="00A61C89">
        <w:rPr>
          <w:sz w:val="28"/>
          <w:szCs w:val="28"/>
        </w:rPr>
        <w:t>аких</w:t>
      </w:r>
      <w:proofErr w:type="spellEnd"/>
      <w:r w:rsidRPr="00A61C89">
        <w:rPr>
          <w:sz w:val="28"/>
          <w:szCs w:val="28"/>
        </w:rPr>
        <w:t xml:space="preserve">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A857D3">
        <w:rPr>
          <w:sz w:val="28"/>
          <w:szCs w:val="28"/>
        </w:rPr>
        <w:t>4503,6</w:t>
      </w:r>
      <w:r w:rsidR="00713B2E">
        <w:rPr>
          <w:sz w:val="28"/>
          <w:szCs w:val="28"/>
        </w:rPr>
        <w:t xml:space="preserve"> тысячи</w:t>
      </w:r>
      <w:r w:rsidRPr="00576C0E">
        <w:rPr>
          <w:sz w:val="28"/>
          <w:szCs w:val="28"/>
        </w:rPr>
        <w:t xml:space="preserve">   рублей, в том числе в 2019 году </w:t>
      </w:r>
      <w:r>
        <w:rPr>
          <w:sz w:val="28"/>
          <w:szCs w:val="28"/>
        </w:rPr>
        <w:t>–457,3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B51895">
        <w:rPr>
          <w:sz w:val="28"/>
          <w:szCs w:val="28"/>
        </w:rPr>
        <w:t>978,5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4B2EB4">
        <w:rPr>
          <w:sz w:val="28"/>
          <w:szCs w:val="28"/>
        </w:rPr>
        <w:t>612,0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A857D3">
        <w:rPr>
          <w:sz w:val="28"/>
          <w:szCs w:val="28"/>
        </w:rPr>
        <w:t>655,6 тыс. руб., 2024 год – 711,7</w:t>
      </w:r>
      <w:r>
        <w:rPr>
          <w:sz w:val="28"/>
          <w:szCs w:val="28"/>
        </w:rPr>
        <w:t>тыс.руб., 2025 год – 450,0 тыс.руб.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lastRenderedPageBreak/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C13A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812FB8">
              <w:rPr>
                <w:b/>
                <w:sz w:val="28"/>
                <w:szCs w:val="28"/>
              </w:rPr>
              <w:t>7,</w:t>
            </w: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EB03A3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4E683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9B7B7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2E6AE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</w:t>
            </w:r>
          </w:p>
        </w:tc>
        <w:tc>
          <w:tcPr>
            <w:tcW w:w="852" w:type="dxa"/>
          </w:tcPr>
          <w:p w:rsidR="00B32AE5" w:rsidRPr="000B78A0" w:rsidRDefault="00B32AE5" w:rsidP="00033A1E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2E6AEC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r w:rsidR="00033A1E">
              <w:rPr>
                <w:sz w:val="28"/>
                <w:szCs w:val="28"/>
              </w:rPr>
              <w:t>огра</w:t>
            </w:r>
            <w:r w:rsidR="00CC7849">
              <w:rPr>
                <w:sz w:val="28"/>
                <w:szCs w:val="28"/>
              </w:rPr>
              <w:t>ждения.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</w:t>
            </w:r>
            <w:r w:rsidR="003C58AC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3C58AC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  <w:r w:rsidR="00422A0C">
              <w:rPr>
                <w:sz w:val="28"/>
                <w:szCs w:val="28"/>
              </w:rPr>
              <w:t>57</w:t>
            </w:r>
            <w:r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1A07A6" w:rsidP="00FE1D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243,6</w:t>
            </w:r>
          </w:p>
        </w:tc>
        <w:tc>
          <w:tcPr>
            <w:tcW w:w="1109" w:type="dxa"/>
          </w:tcPr>
          <w:p w:rsidR="00B32AE5" w:rsidRPr="000B78A0" w:rsidRDefault="0091596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274,7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установка </w:t>
            </w:r>
            <w:r w:rsidRPr="000B78A0">
              <w:rPr>
                <w:sz w:val="28"/>
                <w:szCs w:val="28"/>
              </w:rPr>
              <w:lastRenderedPageBreak/>
              <w:t>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422A0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2AE5"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 xml:space="preserve">ной документации, </w:t>
            </w:r>
            <w:proofErr w:type="spellStart"/>
            <w:r w:rsidR="00396C8A">
              <w:rPr>
                <w:sz w:val="28"/>
                <w:szCs w:val="28"/>
              </w:rPr>
              <w:t>строй</w:t>
            </w:r>
            <w:proofErr w:type="gramStart"/>
            <w:r w:rsidR="00F46363">
              <w:rPr>
                <w:sz w:val="28"/>
                <w:szCs w:val="28"/>
              </w:rPr>
              <w:t>,к</w:t>
            </w:r>
            <w:proofErr w:type="gramEnd"/>
            <w:r w:rsidR="00396C8A">
              <w:rPr>
                <w:sz w:val="28"/>
                <w:szCs w:val="28"/>
              </w:rPr>
              <w:t>онтроль</w:t>
            </w:r>
            <w:proofErr w:type="spellEnd"/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033A1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33A1E" w:rsidRDefault="00D77806" w:rsidP="006D61EC">
            <w:pPr>
              <w:jc w:val="center"/>
              <w:rPr>
                <w:sz w:val="28"/>
                <w:szCs w:val="28"/>
              </w:rPr>
            </w:pPr>
            <w:r w:rsidRPr="00033A1E">
              <w:rPr>
                <w:sz w:val="28"/>
                <w:szCs w:val="28"/>
              </w:rPr>
              <w:t>20</w:t>
            </w:r>
            <w:r w:rsidR="00B32AE5" w:rsidRPr="00033A1E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33A1E" w:rsidRDefault="00033A1E" w:rsidP="00396C8A">
            <w:pPr>
              <w:jc w:val="center"/>
              <w:rPr>
                <w:sz w:val="28"/>
                <w:szCs w:val="28"/>
              </w:rPr>
            </w:pPr>
            <w:r w:rsidRPr="00033A1E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33A1E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3C58AC" w:rsidRDefault="00BB77F0" w:rsidP="003C58A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54</w:t>
            </w:r>
            <w:r w:rsidR="003C58AC">
              <w:rPr>
                <w:b/>
                <w:sz w:val="28"/>
                <w:szCs w:val="28"/>
                <w:lang w:val="en-US"/>
              </w:rPr>
              <w:t>9</w:t>
            </w:r>
            <w:r w:rsidR="00812FB8">
              <w:rPr>
                <w:b/>
                <w:sz w:val="28"/>
                <w:szCs w:val="28"/>
              </w:rPr>
              <w:t>,</w:t>
            </w:r>
            <w:r w:rsidR="003C58AC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422A0C" w:rsidP="00422A0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197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4F4620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346,6</w:t>
            </w:r>
          </w:p>
        </w:tc>
        <w:tc>
          <w:tcPr>
            <w:tcW w:w="1109" w:type="dxa"/>
          </w:tcPr>
          <w:p w:rsidR="00B32AE5" w:rsidRPr="000B78A0" w:rsidRDefault="00F307B4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377,7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  <w:r w:rsidR="00A672AC">
              <w:rPr>
                <w:sz w:val="28"/>
                <w:szCs w:val="28"/>
              </w:rPr>
              <w:t>,0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F62D31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31,63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F240AE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130" w:type="dxa"/>
            <w:gridSpan w:val="2"/>
          </w:tcPr>
          <w:p w:rsidR="00B32AE5" w:rsidRPr="000B78A0" w:rsidRDefault="00EB03A3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B32AE5" w:rsidRPr="000B78A0">
              <w:rPr>
                <w:sz w:val="28"/>
                <w:szCs w:val="28"/>
              </w:rPr>
              <w:t>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4E683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13A1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62D31" w:rsidP="003C58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411,63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4E683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2E6AE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249,0</w:t>
            </w:r>
          </w:p>
        </w:tc>
        <w:tc>
          <w:tcPr>
            <w:tcW w:w="1130" w:type="dxa"/>
            <w:gridSpan w:val="2"/>
          </w:tcPr>
          <w:p w:rsidR="00B32AE5" w:rsidRPr="000B78A0" w:rsidRDefault="007015E1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274</w:t>
            </w:r>
            <w:r w:rsidR="00B32AE5" w:rsidRPr="000B78A0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1E1A00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612,0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DC0F7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B720A" w:rsidRPr="000B78A0" w:rsidRDefault="002E6AE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655,6</w:t>
            </w:r>
          </w:p>
        </w:tc>
        <w:tc>
          <w:tcPr>
            <w:tcW w:w="1130" w:type="dxa"/>
            <w:gridSpan w:val="2"/>
          </w:tcPr>
          <w:p w:rsidR="005B720A" w:rsidRPr="000B78A0" w:rsidRDefault="009A6C6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711,7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1658">
        <w:rPr>
          <w:b/>
          <w:sz w:val="28"/>
          <w:szCs w:val="28"/>
        </w:rPr>
        <w:t xml:space="preserve">        </w:t>
      </w:r>
      <w:r w:rsidRPr="00A61C89">
        <w:rPr>
          <w:b/>
          <w:sz w:val="28"/>
          <w:szCs w:val="28"/>
        </w:rPr>
        <w:tab/>
      </w:r>
      <w:proofErr w:type="spellStart"/>
      <w:r w:rsidR="0046129E">
        <w:rPr>
          <w:b/>
          <w:sz w:val="28"/>
          <w:szCs w:val="28"/>
        </w:rPr>
        <w:t>Л.Н.Муханбеткалиева</w:t>
      </w:r>
      <w:proofErr w:type="spellEnd"/>
    </w:p>
    <w:p w:rsidR="00EE7876" w:rsidRDefault="00EE7876"/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A6" w:rsidRDefault="004875A6" w:rsidP="006268F7">
      <w:r>
        <w:separator/>
      </w:r>
    </w:p>
  </w:endnote>
  <w:endnote w:type="continuationSeparator" w:id="0">
    <w:p w:rsidR="004875A6" w:rsidRDefault="004875A6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A6" w:rsidRDefault="004875A6" w:rsidP="006268F7">
      <w:r>
        <w:separator/>
      </w:r>
    </w:p>
  </w:footnote>
  <w:footnote w:type="continuationSeparator" w:id="0">
    <w:p w:rsidR="004875A6" w:rsidRDefault="004875A6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74" w:rsidRDefault="007D0A9D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16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E1674">
      <w:rPr>
        <w:rStyle w:val="ac"/>
        <w:noProof/>
      </w:rPr>
      <w:t>2</w:t>
    </w:r>
    <w:r>
      <w:rPr>
        <w:rStyle w:val="ac"/>
      </w:rPr>
      <w:fldChar w:fldCharType="end"/>
    </w:r>
  </w:p>
  <w:p w:rsidR="004E1674" w:rsidRDefault="004E1674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674" w:rsidRDefault="007D0A9D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E1674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C05D7">
      <w:rPr>
        <w:rStyle w:val="ac"/>
        <w:noProof/>
      </w:rPr>
      <w:t>3</w:t>
    </w:r>
    <w:r>
      <w:rPr>
        <w:rStyle w:val="ac"/>
      </w:rPr>
      <w:fldChar w:fldCharType="end"/>
    </w:r>
  </w:p>
  <w:p w:rsidR="004E1674" w:rsidRDefault="004E1674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3A1E"/>
    <w:rsid w:val="00036A48"/>
    <w:rsid w:val="000472E9"/>
    <w:rsid w:val="00051E17"/>
    <w:rsid w:val="000A29B8"/>
    <w:rsid w:val="000A5ECB"/>
    <w:rsid w:val="000B78A0"/>
    <w:rsid w:val="000E064F"/>
    <w:rsid w:val="000E0EDF"/>
    <w:rsid w:val="000E3B3A"/>
    <w:rsid w:val="00103E54"/>
    <w:rsid w:val="0012023B"/>
    <w:rsid w:val="00125586"/>
    <w:rsid w:val="00137EB9"/>
    <w:rsid w:val="001450DC"/>
    <w:rsid w:val="001A07A6"/>
    <w:rsid w:val="001C19C4"/>
    <w:rsid w:val="001C65E0"/>
    <w:rsid w:val="001E1A00"/>
    <w:rsid w:val="001E7C44"/>
    <w:rsid w:val="00216C50"/>
    <w:rsid w:val="002231C2"/>
    <w:rsid w:val="00233D29"/>
    <w:rsid w:val="00234059"/>
    <w:rsid w:val="00250A58"/>
    <w:rsid w:val="00250D2B"/>
    <w:rsid w:val="00251E66"/>
    <w:rsid w:val="002648B9"/>
    <w:rsid w:val="002A39D2"/>
    <w:rsid w:val="002B42E1"/>
    <w:rsid w:val="002C05D7"/>
    <w:rsid w:val="002C28D4"/>
    <w:rsid w:val="002E6AEC"/>
    <w:rsid w:val="002F0C92"/>
    <w:rsid w:val="00335A31"/>
    <w:rsid w:val="003435E8"/>
    <w:rsid w:val="003731C9"/>
    <w:rsid w:val="00383B35"/>
    <w:rsid w:val="0039111D"/>
    <w:rsid w:val="00396C8A"/>
    <w:rsid w:val="003C4A24"/>
    <w:rsid w:val="003C58AC"/>
    <w:rsid w:val="003C6157"/>
    <w:rsid w:val="003E1951"/>
    <w:rsid w:val="003F7762"/>
    <w:rsid w:val="004042C8"/>
    <w:rsid w:val="0041280E"/>
    <w:rsid w:val="00417FDE"/>
    <w:rsid w:val="00422A0C"/>
    <w:rsid w:val="004446FA"/>
    <w:rsid w:val="0045260B"/>
    <w:rsid w:val="0045683C"/>
    <w:rsid w:val="0046129E"/>
    <w:rsid w:val="00485A07"/>
    <w:rsid w:val="004875A6"/>
    <w:rsid w:val="00496BE2"/>
    <w:rsid w:val="004B2EB4"/>
    <w:rsid w:val="004B7B28"/>
    <w:rsid w:val="004E1674"/>
    <w:rsid w:val="004E6838"/>
    <w:rsid w:val="004E76FC"/>
    <w:rsid w:val="004F058C"/>
    <w:rsid w:val="004F4620"/>
    <w:rsid w:val="00502CAB"/>
    <w:rsid w:val="00534CAE"/>
    <w:rsid w:val="005547ED"/>
    <w:rsid w:val="005919F6"/>
    <w:rsid w:val="005A790E"/>
    <w:rsid w:val="005B6B9B"/>
    <w:rsid w:val="005B720A"/>
    <w:rsid w:val="005C51AF"/>
    <w:rsid w:val="005D3165"/>
    <w:rsid w:val="005F5B53"/>
    <w:rsid w:val="006268F7"/>
    <w:rsid w:val="0063508C"/>
    <w:rsid w:val="00641028"/>
    <w:rsid w:val="006B0E8C"/>
    <w:rsid w:val="006B61C1"/>
    <w:rsid w:val="006B78E4"/>
    <w:rsid w:val="006C05C5"/>
    <w:rsid w:val="006D61EC"/>
    <w:rsid w:val="006E35D1"/>
    <w:rsid w:val="006E77A7"/>
    <w:rsid w:val="007007D0"/>
    <w:rsid w:val="007015E1"/>
    <w:rsid w:val="0070165C"/>
    <w:rsid w:val="00704C2F"/>
    <w:rsid w:val="00713B2E"/>
    <w:rsid w:val="00786379"/>
    <w:rsid w:val="00791699"/>
    <w:rsid w:val="007C1A93"/>
    <w:rsid w:val="007D0A9D"/>
    <w:rsid w:val="007D5BD0"/>
    <w:rsid w:val="00812FB8"/>
    <w:rsid w:val="00816E99"/>
    <w:rsid w:val="00823848"/>
    <w:rsid w:val="0083413F"/>
    <w:rsid w:val="00845840"/>
    <w:rsid w:val="008755C6"/>
    <w:rsid w:val="0089149C"/>
    <w:rsid w:val="008B300B"/>
    <w:rsid w:val="008C4827"/>
    <w:rsid w:val="008C7C3B"/>
    <w:rsid w:val="008D0F2B"/>
    <w:rsid w:val="008E0213"/>
    <w:rsid w:val="008E0537"/>
    <w:rsid w:val="008F0DB0"/>
    <w:rsid w:val="008F12A7"/>
    <w:rsid w:val="009047E0"/>
    <w:rsid w:val="00915969"/>
    <w:rsid w:val="00930874"/>
    <w:rsid w:val="00935717"/>
    <w:rsid w:val="009365B1"/>
    <w:rsid w:val="00984AF1"/>
    <w:rsid w:val="009A6C68"/>
    <w:rsid w:val="009B7B7A"/>
    <w:rsid w:val="009F095D"/>
    <w:rsid w:val="009F2C0A"/>
    <w:rsid w:val="00A159F2"/>
    <w:rsid w:val="00A21658"/>
    <w:rsid w:val="00A60CA2"/>
    <w:rsid w:val="00A672AC"/>
    <w:rsid w:val="00A857D3"/>
    <w:rsid w:val="00A912F3"/>
    <w:rsid w:val="00A92C0A"/>
    <w:rsid w:val="00A93659"/>
    <w:rsid w:val="00AE43E5"/>
    <w:rsid w:val="00B07737"/>
    <w:rsid w:val="00B20010"/>
    <w:rsid w:val="00B221EB"/>
    <w:rsid w:val="00B22580"/>
    <w:rsid w:val="00B32AE5"/>
    <w:rsid w:val="00B51895"/>
    <w:rsid w:val="00BB77F0"/>
    <w:rsid w:val="00C13A1C"/>
    <w:rsid w:val="00C17CEB"/>
    <w:rsid w:val="00C23D8E"/>
    <w:rsid w:val="00C23E53"/>
    <w:rsid w:val="00C2697E"/>
    <w:rsid w:val="00C35190"/>
    <w:rsid w:val="00C4098E"/>
    <w:rsid w:val="00C55761"/>
    <w:rsid w:val="00C61B59"/>
    <w:rsid w:val="00C82B3B"/>
    <w:rsid w:val="00C94C9D"/>
    <w:rsid w:val="00CA0C15"/>
    <w:rsid w:val="00CA23B6"/>
    <w:rsid w:val="00CA3D00"/>
    <w:rsid w:val="00CC55C4"/>
    <w:rsid w:val="00CC7849"/>
    <w:rsid w:val="00CD2382"/>
    <w:rsid w:val="00CD3788"/>
    <w:rsid w:val="00CE7C00"/>
    <w:rsid w:val="00CF2875"/>
    <w:rsid w:val="00CF58EA"/>
    <w:rsid w:val="00D05674"/>
    <w:rsid w:val="00D20C31"/>
    <w:rsid w:val="00D2332D"/>
    <w:rsid w:val="00D24A10"/>
    <w:rsid w:val="00D63D7C"/>
    <w:rsid w:val="00D640C2"/>
    <w:rsid w:val="00D700D9"/>
    <w:rsid w:val="00D77806"/>
    <w:rsid w:val="00DA5E11"/>
    <w:rsid w:val="00DC0F79"/>
    <w:rsid w:val="00DD6A79"/>
    <w:rsid w:val="00DF5C2D"/>
    <w:rsid w:val="00E37933"/>
    <w:rsid w:val="00E71F72"/>
    <w:rsid w:val="00E86A47"/>
    <w:rsid w:val="00EA17DA"/>
    <w:rsid w:val="00EB03A3"/>
    <w:rsid w:val="00EE7876"/>
    <w:rsid w:val="00F240AE"/>
    <w:rsid w:val="00F2749C"/>
    <w:rsid w:val="00F307B4"/>
    <w:rsid w:val="00F30FD9"/>
    <w:rsid w:val="00F31D49"/>
    <w:rsid w:val="00F46363"/>
    <w:rsid w:val="00F62D31"/>
    <w:rsid w:val="00FA5F67"/>
    <w:rsid w:val="00FB0172"/>
    <w:rsid w:val="00FC0076"/>
    <w:rsid w:val="00FC5336"/>
    <w:rsid w:val="00FD3016"/>
    <w:rsid w:val="00FD5473"/>
    <w:rsid w:val="00FE1D56"/>
    <w:rsid w:val="00FE7D16"/>
    <w:rsid w:val="00FF2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13</Pages>
  <Words>1901</Words>
  <Characters>10841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2021-11-16T07:06:00Z</cp:lastPrinted>
  <dcterms:created xsi:type="dcterms:W3CDTF">2021-11-11T07:30:00Z</dcterms:created>
  <dcterms:modified xsi:type="dcterms:W3CDTF">2022-01-26T10:16:00Z</dcterms:modified>
</cp:coreProperties>
</file>